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F169" w14:textId="77777777" w:rsidR="00EA0556" w:rsidRDefault="00EA0556" w:rsidP="00EA0556">
      <w:pPr>
        <w:tabs>
          <w:tab w:val="clear" w:pos="2835"/>
          <w:tab w:val="left" w:pos="2471"/>
        </w:tabs>
        <w:ind w:left="567" w:hanging="567"/>
      </w:pPr>
    </w:p>
    <w:p w14:paraId="0957CB27" w14:textId="6EC6E7F1" w:rsidR="00EA0556" w:rsidRPr="0080312A" w:rsidRDefault="00EA0556" w:rsidP="0080312A">
      <w:pPr>
        <w:pStyle w:val="ListParagraph"/>
        <w:tabs>
          <w:tab w:val="clear" w:pos="2835"/>
          <w:tab w:val="left" w:pos="2471"/>
        </w:tabs>
        <w:ind w:left="0"/>
        <w:jc w:val="left"/>
        <w:rPr>
          <w:rFonts w:ascii="Arial" w:hAnsi="Arial" w:cs="Arial"/>
          <w:b/>
          <w:bCs/>
          <w:sz w:val="28"/>
          <w:szCs w:val="28"/>
        </w:rPr>
      </w:pPr>
      <w:r w:rsidRPr="00EA0556">
        <w:rPr>
          <w:rFonts w:ascii="Arial" w:hAnsi="Arial" w:cs="Arial"/>
          <w:b/>
          <w:bCs/>
          <w:sz w:val="28"/>
          <w:szCs w:val="28"/>
        </w:rPr>
        <w:t>Disclosures related to the Policy on environmental, social and governance matters related to investments</w:t>
      </w:r>
    </w:p>
    <w:p w14:paraId="09BA97B9" w14:textId="77777777" w:rsidR="00AE142E" w:rsidRPr="007234A9" w:rsidRDefault="00AE142E" w:rsidP="00EA0556">
      <w:pPr>
        <w:rPr>
          <w:rFonts w:ascii="Arial" w:hAnsi="Arial" w:cs="Arial"/>
          <w:sz w:val="19"/>
          <w:szCs w:val="19"/>
        </w:rPr>
      </w:pPr>
    </w:p>
    <w:p w14:paraId="081947CD" w14:textId="77777777" w:rsidR="00EA0556" w:rsidRPr="007234A9" w:rsidRDefault="00EA0556" w:rsidP="00EA0556">
      <w:pPr>
        <w:rPr>
          <w:rFonts w:ascii="Arial" w:hAnsi="Arial" w:cs="Arial"/>
          <w:b/>
          <w:bCs/>
          <w:sz w:val="19"/>
          <w:szCs w:val="19"/>
        </w:rPr>
      </w:pPr>
      <w:r w:rsidRPr="007234A9">
        <w:rPr>
          <w:rFonts w:ascii="Arial" w:hAnsi="Arial" w:cs="Arial"/>
          <w:b/>
          <w:bCs/>
          <w:sz w:val="19"/>
          <w:szCs w:val="19"/>
          <w:lang w:val="en-US"/>
        </w:rPr>
        <w:t>No considerations of sustainability adverse impact</w:t>
      </w:r>
    </w:p>
    <w:p w14:paraId="4CE43287" w14:textId="77777777" w:rsidR="00EA0556" w:rsidRPr="007234A9" w:rsidRDefault="00EA0556" w:rsidP="00EA0556">
      <w:pPr>
        <w:rPr>
          <w:rFonts w:ascii="Arial" w:hAnsi="Arial" w:cs="Arial"/>
          <w:sz w:val="19"/>
          <w:szCs w:val="19"/>
        </w:rPr>
      </w:pPr>
    </w:p>
    <w:p w14:paraId="69734194" w14:textId="0005B3AA" w:rsidR="00EA0556" w:rsidRPr="007234A9" w:rsidRDefault="00EA0556" w:rsidP="00EA0556">
      <w:pPr>
        <w:rPr>
          <w:rFonts w:ascii="Arial" w:hAnsi="Arial" w:cs="Arial"/>
          <w:sz w:val="19"/>
          <w:szCs w:val="19"/>
        </w:rPr>
      </w:pPr>
      <w:r w:rsidRPr="007234A9">
        <w:rPr>
          <w:rFonts w:ascii="Arial" w:hAnsi="Arial" w:cs="Arial"/>
          <w:sz w:val="19"/>
          <w:szCs w:val="19"/>
        </w:rPr>
        <w:t xml:space="preserve">Garda Capital Partners Copenhagen </w:t>
      </w:r>
      <w:proofErr w:type="spellStart"/>
      <w:r w:rsidRPr="007234A9">
        <w:rPr>
          <w:rFonts w:ascii="Arial" w:hAnsi="Arial" w:cs="Arial"/>
          <w:sz w:val="19"/>
          <w:szCs w:val="19"/>
        </w:rPr>
        <w:t>Fondsmæglerselskab</w:t>
      </w:r>
      <w:proofErr w:type="spellEnd"/>
      <w:r w:rsidRPr="007234A9">
        <w:rPr>
          <w:rFonts w:ascii="Arial" w:hAnsi="Arial" w:cs="Arial"/>
          <w:sz w:val="19"/>
          <w:szCs w:val="19"/>
        </w:rPr>
        <w:t xml:space="preserve"> A/S (“Garda CPH”) does not consider adverse impacts of its investment decisions on </w:t>
      </w:r>
      <w:r w:rsidRPr="007234A9">
        <w:rPr>
          <w:rFonts w:ascii="Arial" w:hAnsi="Arial" w:cs="Arial"/>
          <w:sz w:val="19"/>
          <w:szCs w:val="19"/>
          <w:lang w:val="en-US"/>
        </w:rPr>
        <w:t>environmental, social and employee matters, respect for human rights, anti</w:t>
      </w:r>
      <w:r w:rsidRPr="007234A9">
        <w:rPr>
          <w:rFonts w:ascii="Cambria Math" w:hAnsi="Cambria Math" w:cs="Cambria Math"/>
          <w:sz w:val="19"/>
          <w:szCs w:val="19"/>
          <w:lang w:val="en-US"/>
        </w:rPr>
        <w:t>‐</w:t>
      </w:r>
      <w:r w:rsidRPr="007234A9">
        <w:rPr>
          <w:rFonts w:ascii="Arial" w:hAnsi="Arial" w:cs="Arial"/>
          <w:sz w:val="19"/>
          <w:szCs w:val="19"/>
          <w:lang w:val="en-US"/>
        </w:rPr>
        <w:t>corruption and anti</w:t>
      </w:r>
      <w:r w:rsidRPr="007234A9">
        <w:rPr>
          <w:rFonts w:ascii="Cambria Math" w:hAnsi="Cambria Math" w:cs="Cambria Math"/>
          <w:sz w:val="19"/>
          <w:szCs w:val="19"/>
          <w:lang w:val="en-US"/>
        </w:rPr>
        <w:t>‐</w:t>
      </w:r>
      <w:r w:rsidRPr="007234A9">
        <w:rPr>
          <w:rFonts w:ascii="Arial" w:hAnsi="Arial" w:cs="Arial"/>
          <w:sz w:val="19"/>
          <w:szCs w:val="19"/>
          <w:lang w:val="en-US"/>
        </w:rPr>
        <w:t>bribery matters</w:t>
      </w:r>
      <w:r w:rsidRPr="007234A9">
        <w:rPr>
          <w:rFonts w:ascii="Arial" w:hAnsi="Arial" w:cs="Arial"/>
          <w:sz w:val="19"/>
          <w:szCs w:val="19"/>
        </w:rPr>
        <w:t xml:space="preserve"> (“sustainability factors”). </w:t>
      </w:r>
    </w:p>
    <w:p w14:paraId="05A7B11F" w14:textId="77777777" w:rsidR="00EA0556" w:rsidRPr="007234A9" w:rsidRDefault="00EA0556" w:rsidP="00EA0556">
      <w:pPr>
        <w:rPr>
          <w:rFonts w:ascii="Arial" w:hAnsi="Arial" w:cs="Arial"/>
          <w:sz w:val="19"/>
          <w:szCs w:val="19"/>
        </w:rPr>
      </w:pPr>
    </w:p>
    <w:p w14:paraId="5EF6C8A1" w14:textId="2407ACE7" w:rsidR="0075032A" w:rsidRPr="002679CE" w:rsidRDefault="00EA0556" w:rsidP="0075032A">
      <w:pPr>
        <w:pStyle w:val="p1"/>
        <w:spacing w:before="0" w:beforeAutospacing="0" w:after="0" w:afterAutospacing="0"/>
        <w:rPr>
          <w:rStyle w:val="s2"/>
          <w:rFonts w:ascii="Arial" w:hAnsi="Arial" w:cs="Arial"/>
          <w:sz w:val="19"/>
          <w:szCs w:val="19"/>
        </w:rPr>
      </w:pPr>
      <w:r w:rsidRPr="00E47B15">
        <w:rPr>
          <w:rFonts w:ascii="Arial" w:hAnsi="Arial" w:cs="Arial"/>
          <w:sz w:val="19"/>
          <w:szCs w:val="19"/>
        </w:rPr>
        <w:t xml:space="preserve">Garda CPH does not do so, as </w:t>
      </w:r>
      <w:r w:rsidR="0075032A">
        <w:rPr>
          <w:rStyle w:val="s2"/>
          <w:rFonts w:ascii="Arial" w:hAnsi="Arial" w:cs="Arial"/>
          <w:sz w:val="19"/>
          <w:szCs w:val="19"/>
        </w:rPr>
        <w:t>s</w:t>
      </w:r>
      <w:r w:rsidR="0075032A" w:rsidRPr="002679CE">
        <w:rPr>
          <w:rStyle w:val="s2"/>
          <w:rFonts w:ascii="Arial" w:hAnsi="Arial" w:cs="Arial"/>
          <w:sz w:val="19"/>
          <w:szCs w:val="19"/>
        </w:rPr>
        <w:t xml:space="preserve">ustainability </w:t>
      </w:r>
      <w:r w:rsidR="00A05284">
        <w:rPr>
          <w:rStyle w:val="s2"/>
          <w:rFonts w:ascii="Arial" w:hAnsi="Arial" w:cs="Arial"/>
          <w:sz w:val="19"/>
          <w:szCs w:val="19"/>
        </w:rPr>
        <w:t>facto</w:t>
      </w:r>
      <w:r w:rsidR="00C73FA5">
        <w:rPr>
          <w:rStyle w:val="s2"/>
          <w:rFonts w:ascii="Arial" w:hAnsi="Arial" w:cs="Arial"/>
          <w:sz w:val="19"/>
          <w:szCs w:val="19"/>
        </w:rPr>
        <w:t>r</w:t>
      </w:r>
      <w:r w:rsidR="00A05284">
        <w:rPr>
          <w:rStyle w:val="s2"/>
          <w:rFonts w:ascii="Arial" w:hAnsi="Arial" w:cs="Arial"/>
          <w:sz w:val="19"/>
          <w:szCs w:val="19"/>
        </w:rPr>
        <w:t>s</w:t>
      </w:r>
      <w:r w:rsidR="00A05284" w:rsidRPr="002679CE">
        <w:rPr>
          <w:rStyle w:val="s2"/>
          <w:rFonts w:ascii="Arial" w:hAnsi="Arial" w:cs="Arial"/>
          <w:sz w:val="19"/>
          <w:szCs w:val="19"/>
          <w:lang w:val="en-GB"/>
        </w:rPr>
        <w:t xml:space="preserve"> </w:t>
      </w:r>
      <w:r w:rsidR="0075032A" w:rsidRPr="002679CE">
        <w:rPr>
          <w:rStyle w:val="s2"/>
          <w:rFonts w:ascii="Arial" w:hAnsi="Arial" w:cs="Arial"/>
          <w:sz w:val="19"/>
          <w:szCs w:val="19"/>
          <w:lang w:val="en-GB"/>
        </w:rPr>
        <w:t xml:space="preserve">are </w:t>
      </w:r>
      <w:r w:rsidR="0075032A" w:rsidRPr="002679CE">
        <w:rPr>
          <w:rStyle w:val="s2"/>
          <w:rFonts w:ascii="Arial" w:hAnsi="Arial" w:cs="Arial"/>
          <w:sz w:val="19"/>
          <w:szCs w:val="19"/>
        </w:rPr>
        <w:t>currently not relevant in</w:t>
      </w:r>
      <w:r w:rsidR="00A05284">
        <w:rPr>
          <w:rStyle w:val="s2"/>
          <w:rFonts w:ascii="Arial" w:hAnsi="Arial" w:cs="Arial"/>
          <w:sz w:val="19"/>
          <w:szCs w:val="19"/>
        </w:rPr>
        <w:t xml:space="preserve"> relation to</w:t>
      </w:r>
      <w:r w:rsidR="0075032A" w:rsidRPr="002679CE">
        <w:rPr>
          <w:rStyle w:val="s2"/>
          <w:rFonts w:ascii="Arial" w:hAnsi="Arial" w:cs="Arial"/>
          <w:sz w:val="19"/>
          <w:szCs w:val="19"/>
        </w:rPr>
        <w:t xml:space="preserve"> the Company’s approach to</w:t>
      </w:r>
      <w:r w:rsidR="0075032A" w:rsidRPr="002679CE">
        <w:rPr>
          <w:rStyle w:val="s2"/>
          <w:rFonts w:ascii="Arial" w:hAnsi="Arial" w:cs="Arial"/>
          <w:sz w:val="19"/>
          <w:szCs w:val="19"/>
          <w:lang w:val="en-GB"/>
        </w:rPr>
        <w:t xml:space="preserve"> the financial markets due to </w:t>
      </w:r>
      <w:r w:rsidR="0075032A" w:rsidRPr="002679CE">
        <w:rPr>
          <w:rStyle w:val="s2"/>
          <w:rFonts w:ascii="Arial" w:hAnsi="Arial" w:cs="Arial"/>
          <w:sz w:val="19"/>
          <w:szCs w:val="19"/>
        </w:rPr>
        <w:t xml:space="preserve">the </w:t>
      </w:r>
      <w:r w:rsidR="0075032A" w:rsidRPr="002679CE">
        <w:rPr>
          <w:rStyle w:val="s2"/>
          <w:rFonts w:ascii="Arial" w:hAnsi="Arial" w:cs="Arial"/>
          <w:sz w:val="19"/>
          <w:szCs w:val="19"/>
          <w:lang w:val="en-GB"/>
        </w:rPr>
        <w:t xml:space="preserve">investment </w:t>
      </w:r>
      <w:r w:rsidR="0075032A" w:rsidRPr="002679CE">
        <w:rPr>
          <w:rStyle w:val="s2"/>
          <w:rFonts w:ascii="Arial" w:hAnsi="Arial" w:cs="Arial"/>
          <w:sz w:val="19"/>
          <w:szCs w:val="19"/>
        </w:rPr>
        <w:t>philosophy, investment</w:t>
      </w:r>
      <w:r w:rsidR="0075032A" w:rsidRPr="002679CE">
        <w:rPr>
          <w:rStyle w:val="s2"/>
          <w:rFonts w:ascii="Arial" w:hAnsi="Arial" w:cs="Arial"/>
          <w:sz w:val="19"/>
          <w:szCs w:val="19"/>
          <w:lang w:val="en-GB"/>
        </w:rPr>
        <w:t xml:space="preserve"> horizon and </w:t>
      </w:r>
      <w:r w:rsidR="0075032A" w:rsidRPr="002679CE">
        <w:rPr>
          <w:rStyle w:val="s2"/>
          <w:rFonts w:ascii="Arial" w:hAnsi="Arial" w:cs="Arial"/>
          <w:sz w:val="19"/>
          <w:szCs w:val="19"/>
        </w:rPr>
        <w:t>investment universe</w:t>
      </w:r>
      <w:r w:rsidR="0075032A" w:rsidRPr="002679CE">
        <w:rPr>
          <w:rStyle w:val="s2"/>
          <w:rFonts w:ascii="Arial" w:hAnsi="Arial" w:cs="Arial"/>
          <w:sz w:val="19"/>
          <w:szCs w:val="19"/>
          <w:lang w:val="en-GB"/>
        </w:rPr>
        <w:t>:</w:t>
      </w:r>
    </w:p>
    <w:p w14:paraId="3C7BA4A7" w14:textId="77777777" w:rsidR="0075032A" w:rsidRPr="002679CE" w:rsidRDefault="0075032A" w:rsidP="0075032A">
      <w:pPr>
        <w:pStyle w:val="p1"/>
        <w:spacing w:before="0" w:beforeAutospacing="0" w:after="0" w:afterAutospacing="0"/>
        <w:rPr>
          <w:rFonts w:ascii="Arial" w:hAnsi="Arial" w:cs="Arial"/>
          <w:sz w:val="19"/>
          <w:szCs w:val="19"/>
          <w:lang w:val="en-GB"/>
        </w:rPr>
      </w:pPr>
    </w:p>
    <w:p w14:paraId="6E685E2D" w14:textId="5366F3CC" w:rsidR="0075032A" w:rsidRPr="00E26FC5" w:rsidRDefault="0075032A" w:rsidP="00A05284">
      <w:pPr>
        <w:pStyle w:val="p1"/>
        <w:numPr>
          <w:ilvl w:val="0"/>
          <w:numId w:val="6"/>
        </w:numPr>
        <w:spacing w:before="0" w:beforeAutospacing="0" w:after="0" w:afterAutospacing="0"/>
        <w:ind w:hanging="578"/>
        <w:rPr>
          <w:rStyle w:val="s2"/>
          <w:rFonts w:ascii="Arial" w:hAnsi="Arial" w:cs="Arial"/>
          <w:sz w:val="19"/>
          <w:szCs w:val="19"/>
        </w:rPr>
      </w:pPr>
      <w:r w:rsidRPr="002679CE">
        <w:rPr>
          <w:rStyle w:val="s2"/>
          <w:rFonts w:ascii="Arial" w:eastAsia="Times New Roman" w:hAnsi="Arial" w:cs="Arial"/>
          <w:sz w:val="19"/>
          <w:szCs w:val="19"/>
          <w:lang w:val="en-GB"/>
        </w:rPr>
        <w:t xml:space="preserve">The Company is typically looking for shorter term (alpha) opportunities. The Company does not hold on to assets for an extended period of time like a long only (beta) investor thereby maybe being able to promote a given set of </w:t>
      </w:r>
      <w:r>
        <w:rPr>
          <w:rStyle w:val="s2"/>
          <w:rFonts w:ascii="Arial" w:eastAsia="Times New Roman" w:hAnsi="Arial" w:cs="Arial"/>
          <w:sz w:val="19"/>
          <w:szCs w:val="19"/>
          <w:lang w:val="en-GB"/>
        </w:rPr>
        <w:t>ESG</w:t>
      </w:r>
      <w:r w:rsidRPr="002679CE">
        <w:rPr>
          <w:rStyle w:val="s2"/>
          <w:rFonts w:ascii="Arial" w:eastAsia="Times New Roman" w:hAnsi="Arial" w:cs="Arial"/>
          <w:sz w:val="19"/>
          <w:szCs w:val="19"/>
          <w:lang w:val="en-GB"/>
        </w:rPr>
        <w:t xml:space="preserve"> factors. </w:t>
      </w:r>
    </w:p>
    <w:p w14:paraId="34F1D770" w14:textId="77777777" w:rsidR="0075032A" w:rsidRPr="002679CE" w:rsidRDefault="0075032A" w:rsidP="00A05284">
      <w:pPr>
        <w:pStyle w:val="p1"/>
        <w:numPr>
          <w:ilvl w:val="0"/>
          <w:numId w:val="6"/>
        </w:numPr>
        <w:spacing w:before="0" w:beforeAutospacing="0" w:after="0" w:afterAutospacing="0"/>
        <w:ind w:hanging="578"/>
        <w:rPr>
          <w:rStyle w:val="s2"/>
          <w:rFonts w:ascii="Arial" w:hAnsi="Arial" w:cs="Arial"/>
          <w:sz w:val="19"/>
          <w:szCs w:val="19"/>
          <w:lang w:val="en-GB"/>
        </w:rPr>
      </w:pPr>
      <w:r w:rsidRPr="002679CE">
        <w:rPr>
          <w:rStyle w:val="s2"/>
          <w:rFonts w:ascii="Arial" w:eastAsia="Times New Roman" w:hAnsi="Arial" w:cs="Arial"/>
          <w:sz w:val="19"/>
          <w:szCs w:val="19"/>
          <w:lang w:val="en-GB"/>
        </w:rPr>
        <w:t xml:space="preserve">The Company does not have access to relevant trading opportunities which involves instruments with an ESG profile. These instruments exist in other markets like for example equity markets, but are still rare in relevant markets. </w:t>
      </w:r>
    </w:p>
    <w:p w14:paraId="0D42AA63" w14:textId="05AB3354" w:rsidR="00EA0556" w:rsidRPr="00E26FC5" w:rsidRDefault="0075032A" w:rsidP="00A05284">
      <w:pPr>
        <w:pStyle w:val="p1"/>
        <w:numPr>
          <w:ilvl w:val="0"/>
          <w:numId w:val="6"/>
        </w:numPr>
        <w:spacing w:before="0" w:beforeAutospacing="0" w:after="0" w:afterAutospacing="0"/>
        <w:ind w:hanging="578"/>
        <w:rPr>
          <w:rFonts w:ascii="Arial" w:hAnsi="Arial" w:cs="Arial"/>
          <w:sz w:val="19"/>
          <w:szCs w:val="19"/>
        </w:rPr>
      </w:pPr>
      <w:r w:rsidRPr="002679CE">
        <w:rPr>
          <w:rStyle w:val="s2"/>
          <w:rFonts w:ascii="Arial" w:eastAsia="Times New Roman" w:hAnsi="Arial" w:cs="Arial"/>
          <w:sz w:val="19"/>
          <w:szCs w:val="19"/>
          <w:lang w:val="en-GB"/>
        </w:rPr>
        <w:t>ESG can be a relevant parameter when constructing investment strategies in less developed markets, but can be hard to apply in a relevant manner in developed markets, not least in fixed income space.</w:t>
      </w:r>
    </w:p>
    <w:p w14:paraId="518F4D50" w14:textId="77777777" w:rsidR="00EA0556" w:rsidRPr="00E47B15" w:rsidRDefault="00EA0556" w:rsidP="00EA0556">
      <w:pPr>
        <w:rPr>
          <w:rFonts w:ascii="Arial" w:hAnsi="Arial" w:cs="Arial"/>
          <w:sz w:val="19"/>
          <w:szCs w:val="19"/>
          <w:lang w:val="en-US"/>
        </w:rPr>
      </w:pPr>
    </w:p>
    <w:p w14:paraId="0195DC7E" w14:textId="0CEA4990" w:rsidR="00EA0556" w:rsidRPr="006B20FF" w:rsidRDefault="00EA0556" w:rsidP="00EA0556">
      <w:pPr>
        <w:rPr>
          <w:rFonts w:ascii="Arial" w:hAnsi="Arial" w:cs="Arial"/>
          <w:sz w:val="19"/>
          <w:szCs w:val="19"/>
          <w:lang w:val="en-US"/>
        </w:rPr>
      </w:pPr>
      <w:r w:rsidRPr="00E47B15">
        <w:rPr>
          <w:rFonts w:ascii="Arial" w:hAnsi="Arial" w:cs="Arial"/>
          <w:sz w:val="19"/>
          <w:szCs w:val="19"/>
          <w:lang w:val="en-US"/>
        </w:rPr>
        <w:t>Garda CPH has based on the above assessed that it is unlikely that Garda CPH’s investment decisions have any material adverse impact on sustainab</w:t>
      </w:r>
      <w:r w:rsidR="006B20FF" w:rsidRPr="00E47B15">
        <w:rPr>
          <w:rFonts w:ascii="Arial" w:hAnsi="Arial" w:cs="Arial"/>
          <w:sz w:val="19"/>
          <w:szCs w:val="19"/>
          <w:lang w:val="en-US"/>
        </w:rPr>
        <w:t>ility</w:t>
      </w:r>
      <w:r w:rsidRPr="00E47B15">
        <w:rPr>
          <w:rFonts w:ascii="Arial" w:hAnsi="Arial" w:cs="Arial"/>
          <w:sz w:val="19"/>
          <w:szCs w:val="19"/>
          <w:lang w:val="en-US"/>
        </w:rPr>
        <w:t xml:space="preserve"> factors</w:t>
      </w:r>
      <w:r w:rsidRPr="006B20FF">
        <w:rPr>
          <w:rFonts w:ascii="Arial" w:hAnsi="Arial" w:cs="Arial"/>
          <w:sz w:val="19"/>
          <w:szCs w:val="19"/>
          <w:lang w:val="en-US"/>
        </w:rPr>
        <w:t xml:space="preserve">. </w:t>
      </w:r>
    </w:p>
    <w:p w14:paraId="6D388CDC" w14:textId="77777777" w:rsidR="00EA0556" w:rsidRPr="006B20FF" w:rsidRDefault="00EA0556" w:rsidP="00EA0556">
      <w:pPr>
        <w:rPr>
          <w:rFonts w:ascii="Arial" w:hAnsi="Arial" w:cs="Arial"/>
          <w:sz w:val="19"/>
          <w:szCs w:val="19"/>
          <w:lang w:val="en-US"/>
        </w:rPr>
      </w:pPr>
    </w:p>
    <w:p w14:paraId="2D80D1E1" w14:textId="6D7B86F2" w:rsidR="00EA0556" w:rsidRPr="006B20FF" w:rsidRDefault="00EA0556" w:rsidP="00EA0556">
      <w:pPr>
        <w:rPr>
          <w:rFonts w:ascii="Arial" w:hAnsi="Arial" w:cs="Arial"/>
          <w:sz w:val="19"/>
          <w:szCs w:val="19"/>
          <w:lang w:val="en-US"/>
        </w:rPr>
      </w:pPr>
      <w:r w:rsidRPr="00E47B15">
        <w:rPr>
          <w:rFonts w:ascii="Arial" w:hAnsi="Arial" w:cs="Arial"/>
          <w:sz w:val="19"/>
          <w:szCs w:val="19"/>
          <w:lang w:val="en-US"/>
        </w:rPr>
        <w:t xml:space="preserve">Garda CPH has therefore decided not to consider adverse impact of its investment decisions on sustainability factors, as it is unlikely that Garda CPH’s investments will have any adverse impacts on sustainability factors. </w:t>
      </w:r>
    </w:p>
    <w:p w14:paraId="177B1733" w14:textId="77777777" w:rsidR="00EA0556" w:rsidRPr="007234A9" w:rsidRDefault="00EA0556" w:rsidP="00EA0556">
      <w:pPr>
        <w:rPr>
          <w:rFonts w:ascii="Arial" w:hAnsi="Arial" w:cs="Arial"/>
          <w:sz w:val="19"/>
          <w:szCs w:val="19"/>
        </w:rPr>
      </w:pPr>
    </w:p>
    <w:p w14:paraId="6835AF2E" w14:textId="6B1FA6B0" w:rsidR="00EA0556" w:rsidRPr="007234A9" w:rsidRDefault="00EA0556" w:rsidP="00EA0556">
      <w:pPr>
        <w:rPr>
          <w:rFonts w:ascii="Arial" w:hAnsi="Arial" w:cs="Arial"/>
          <w:sz w:val="19"/>
          <w:szCs w:val="19"/>
        </w:rPr>
      </w:pPr>
      <w:r w:rsidRPr="007234A9">
        <w:rPr>
          <w:rFonts w:ascii="Arial" w:hAnsi="Arial" w:cs="Arial"/>
          <w:sz w:val="19"/>
          <w:szCs w:val="19"/>
        </w:rPr>
        <w:t xml:space="preserve">Garda </w:t>
      </w:r>
      <w:r>
        <w:rPr>
          <w:rFonts w:ascii="Arial" w:hAnsi="Arial" w:cs="Arial"/>
          <w:sz w:val="19"/>
          <w:szCs w:val="19"/>
        </w:rPr>
        <w:t xml:space="preserve">CPH </w:t>
      </w:r>
      <w:r w:rsidRPr="007234A9">
        <w:rPr>
          <w:rFonts w:ascii="Arial" w:hAnsi="Arial" w:cs="Arial"/>
          <w:sz w:val="19"/>
          <w:szCs w:val="19"/>
        </w:rPr>
        <w:t xml:space="preserve">does not in the foreseeable future intend to consider adverse impacts on its investments on sustainability factors. Garda CPH will on an ongoing basis </w:t>
      </w:r>
      <w:r w:rsidR="006F4F8B">
        <w:rPr>
          <w:rFonts w:ascii="Arial" w:hAnsi="Arial" w:cs="Arial"/>
          <w:sz w:val="19"/>
          <w:szCs w:val="19"/>
        </w:rPr>
        <w:t xml:space="preserve">consider and </w:t>
      </w:r>
      <w:r w:rsidRPr="007234A9">
        <w:rPr>
          <w:rFonts w:ascii="Arial" w:hAnsi="Arial" w:cs="Arial"/>
          <w:sz w:val="19"/>
          <w:szCs w:val="19"/>
        </w:rPr>
        <w:t xml:space="preserve">assess whether this should be changed.     </w:t>
      </w:r>
    </w:p>
    <w:p w14:paraId="6E8E65A1" w14:textId="4196E8F1" w:rsidR="00EA0556" w:rsidRDefault="00EA0556" w:rsidP="00EA0556">
      <w:pPr>
        <w:rPr>
          <w:rFonts w:ascii="Arial" w:hAnsi="Arial" w:cs="Arial"/>
          <w:sz w:val="19"/>
          <w:szCs w:val="19"/>
        </w:rPr>
      </w:pPr>
    </w:p>
    <w:p w14:paraId="55733B31" w14:textId="77777777" w:rsidR="00D268D8" w:rsidRPr="007234A9" w:rsidRDefault="00D268D8" w:rsidP="00EA0556">
      <w:pPr>
        <w:rPr>
          <w:rFonts w:ascii="Arial" w:hAnsi="Arial" w:cs="Arial"/>
          <w:sz w:val="19"/>
          <w:szCs w:val="19"/>
        </w:rPr>
      </w:pPr>
    </w:p>
    <w:p w14:paraId="67DDBD3C" w14:textId="77777777" w:rsidR="00EA0556" w:rsidRPr="007234A9" w:rsidRDefault="00EA0556" w:rsidP="00EA0556">
      <w:pPr>
        <w:rPr>
          <w:rFonts w:ascii="Arial" w:hAnsi="Arial" w:cs="Arial"/>
          <w:b/>
          <w:bCs/>
          <w:sz w:val="19"/>
          <w:szCs w:val="19"/>
        </w:rPr>
      </w:pPr>
      <w:r w:rsidRPr="007234A9">
        <w:rPr>
          <w:rFonts w:ascii="Arial" w:hAnsi="Arial" w:cs="Arial"/>
          <w:b/>
          <w:bCs/>
          <w:sz w:val="19"/>
          <w:szCs w:val="19"/>
        </w:rPr>
        <w:t>Policy on environmental, social and governance matters related to investments</w:t>
      </w:r>
    </w:p>
    <w:p w14:paraId="40B1886E" w14:textId="77777777" w:rsidR="00EA0556" w:rsidRPr="007234A9" w:rsidRDefault="00EA0556" w:rsidP="00EA0556">
      <w:pPr>
        <w:rPr>
          <w:rFonts w:ascii="Arial" w:hAnsi="Arial" w:cs="Arial"/>
          <w:sz w:val="19"/>
          <w:szCs w:val="19"/>
        </w:rPr>
      </w:pPr>
    </w:p>
    <w:p w14:paraId="75CBB16F" w14:textId="5D7ABCDE" w:rsidR="00EA0556" w:rsidRDefault="00EA0556" w:rsidP="00EA0556">
      <w:pPr>
        <w:rPr>
          <w:rFonts w:ascii="Arial" w:hAnsi="Arial" w:cs="Arial"/>
          <w:sz w:val="19"/>
          <w:szCs w:val="19"/>
        </w:rPr>
      </w:pPr>
      <w:r w:rsidRPr="007234A9">
        <w:rPr>
          <w:rFonts w:ascii="Arial" w:hAnsi="Arial" w:cs="Arial"/>
          <w:sz w:val="19"/>
          <w:szCs w:val="19"/>
        </w:rPr>
        <w:t>Garda CPH has adopted a</w:t>
      </w:r>
      <w:r w:rsidR="00C1077F">
        <w:rPr>
          <w:rFonts w:ascii="Arial" w:hAnsi="Arial" w:cs="Arial"/>
          <w:sz w:val="19"/>
          <w:szCs w:val="19"/>
        </w:rPr>
        <w:t>n</w:t>
      </w:r>
      <w:r w:rsidRPr="007234A9">
        <w:rPr>
          <w:rFonts w:ascii="Arial" w:hAnsi="Arial" w:cs="Arial"/>
          <w:sz w:val="19"/>
          <w:szCs w:val="19"/>
        </w:rPr>
        <w:t xml:space="preserve"> </w:t>
      </w:r>
      <w:r w:rsidR="00C1077F">
        <w:rPr>
          <w:rFonts w:ascii="Arial" w:hAnsi="Arial" w:cs="Arial"/>
          <w:sz w:val="19"/>
          <w:szCs w:val="19"/>
        </w:rPr>
        <w:t xml:space="preserve">ESG </w:t>
      </w:r>
      <w:r w:rsidRPr="007234A9">
        <w:rPr>
          <w:rFonts w:ascii="Arial" w:hAnsi="Arial" w:cs="Arial"/>
          <w:sz w:val="19"/>
          <w:szCs w:val="19"/>
        </w:rPr>
        <w:t xml:space="preserve">policy </w:t>
      </w:r>
      <w:r w:rsidR="00C1077F">
        <w:rPr>
          <w:rFonts w:ascii="Arial" w:hAnsi="Arial" w:cs="Arial"/>
          <w:sz w:val="19"/>
          <w:szCs w:val="19"/>
        </w:rPr>
        <w:t xml:space="preserve">where it has been assessed whether Garda CPH should </w:t>
      </w:r>
      <w:r w:rsidR="00C1077F" w:rsidRPr="00C1077F">
        <w:rPr>
          <w:rFonts w:ascii="Arial" w:hAnsi="Arial" w:cs="Arial"/>
          <w:sz w:val="19"/>
          <w:szCs w:val="19"/>
        </w:rPr>
        <w:t xml:space="preserve">integrate sustainability risks in </w:t>
      </w:r>
      <w:r w:rsidR="006F4F8B">
        <w:rPr>
          <w:rFonts w:ascii="Arial" w:hAnsi="Arial" w:cs="Arial"/>
          <w:sz w:val="19"/>
          <w:szCs w:val="19"/>
        </w:rPr>
        <w:t>its</w:t>
      </w:r>
      <w:r w:rsidR="00C1077F" w:rsidRPr="00C1077F">
        <w:rPr>
          <w:rFonts w:ascii="Arial" w:hAnsi="Arial" w:cs="Arial"/>
          <w:sz w:val="19"/>
          <w:szCs w:val="19"/>
        </w:rPr>
        <w:t xml:space="preserve"> investment decision</w:t>
      </w:r>
      <w:r w:rsidR="00C1077F" w:rsidRPr="00C1077F">
        <w:rPr>
          <w:rFonts w:ascii="Cambria Math" w:hAnsi="Cambria Math" w:cs="Cambria Math"/>
          <w:sz w:val="19"/>
          <w:szCs w:val="19"/>
        </w:rPr>
        <w:t>‐</w:t>
      </w:r>
      <w:r w:rsidR="00C1077F" w:rsidRPr="00C1077F">
        <w:rPr>
          <w:rFonts w:ascii="Arial" w:hAnsi="Arial" w:cs="Arial"/>
          <w:sz w:val="19"/>
          <w:szCs w:val="19"/>
        </w:rPr>
        <w:t>making process</w:t>
      </w:r>
      <w:r w:rsidR="00C1077F">
        <w:rPr>
          <w:rFonts w:ascii="Arial" w:hAnsi="Arial" w:cs="Arial"/>
          <w:sz w:val="19"/>
          <w:szCs w:val="19"/>
        </w:rPr>
        <w:t>.</w:t>
      </w:r>
      <w:r w:rsidRPr="007234A9">
        <w:rPr>
          <w:rFonts w:ascii="Arial" w:hAnsi="Arial" w:cs="Arial"/>
          <w:sz w:val="19"/>
          <w:szCs w:val="19"/>
        </w:rPr>
        <w:t xml:space="preserve"> </w:t>
      </w:r>
    </w:p>
    <w:p w14:paraId="2262E87C" w14:textId="77777777" w:rsidR="00EA0556" w:rsidRDefault="00EA0556" w:rsidP="00EA0556">
      <w:pPr>
        <w:rPr>
          <w:rFonts w:ascii="Arial" w:hAnsi="Arial" w:cs="Arial"/>
          <w:sz w:val="19"/>
          <w:szCs w:val="19"/>
        </w:rPr>
      </w:pPr>
    </w:p>
    <w:p w14:paraId="175C5625" w14:textId="48AC804B" w:rsidR="00C1077F" w:rsidRDefault="00EA0556" w:rsidP="00EA0556">
      <w:pPr>
        <w:rPr>
          <w:rFonts w:ascii="Arial" w:hAnsi="Arial" w:cs="Arial"/>
          <w:sz w:val="19"/>
          <w:szCs w:val="19"/>
        </w:rPr>
      </w:pPr>
      <w:r>
        <w:rPr>
          <w:rFonts w:ascii="Arial" w:hAnsi="Arial" w:cs="Arial"/>
          <w:sz w:val="19"/>
          <w:szCs w:val="19"/>
        </w:rPr>
        <w:t xml:space="preserve">Garda CPH has assessed that an </w:t>
      </w:r>
      <w:r>
        <w:rPr>
          <w:rFonts w:ascii="Arial" w:hAnsi="Arial" w:cs="Arial"/>
          <w:sz w:val="19"/>
          <w:szCs w:val="19"/>
          <w:lang w:val="en-US"/>
        </w:rPr>
        <w:t>environmental, social or governance</w:t>
      </w:r>
      <w:r w:rsidRPr="006969BF">
        <w:rPr>
          <w:rFonts w:ascii="Arial" w:hAnsi="Arial" w:cs="Arial"/>
          <w:sz w:val="19"/>
          <w:szCs w:val="19"/>
          <w:lang w:val="en-US"/>
        </w:rPr>
        <w:t xml:space="preserve"> event or condition that, if it occurs, could cause an actual or a potential material negative impact on the value of </w:t>
      </w:r>
      <w:r>
        <w:rPr>
          <w:rFonts w:ascii="Arial" w:hAnsi="Arial" w:cs="Arial"/>
          <w:sz w:val="19"/>
          <w:szCs w:val="19"/>
          <w:lang w:val="en-US"/>
        </w:rPr>
        <w:t>Garda CPH’s</w:t>
      </w:r>
      <w:r w:rsidRPr="006969BF">
        <w:rPr>
          <w:rFonts w:ascii="Arial" w:hAnsi="Arial" w:cs="Arial"/>
          <w:sz w:val="19"/>
          <w:szCs w:val="19"/>
          <w:lang w:val="en-US"/>
        </w:rPr>
        <w:t xml:space="preserve"> investment</w:t>
      </w:r>
      <w:r>
        <w:rPr>
          <w:rFonts w:ascii="Arial" w:hAnsi="Arial" w:cs="Arial"/>
          <w:sz w:val="19"/>
          <w:szCs w:val="19"/>
          <w:lang w:val="en-US"/>
        </w:rPr>
        <w:t xml:space="preserve">s are unlikely to occur. </w:t>
      </w:r>
      <w:r w:rsidR="00C1077F" w:rsidRPr="007234A9">
        <w:rPr>
          <w:rFonts w:ascii="Arial" w:hAnsi="Arial" w:cs="Arial"/>
          <w:sz w:val="19"/>
          <w:szCs w:val="19"/>
        </w:rPr>
        <w:t xml:space="preserve">The reasons </w:t>
      </w:r>
      <w:proofErr w:type="spellStart"/>
      <w:r w:rsidR="00C1077F" w:rsidRPr="007234A9">
        <w:rPr>
          <w:rFonts w:ascii="Arial" w:hAnsi="Arial" w:cs="Arial"/>
          <w:sz w:val="19"/>
          <w:szCs w:val="19"/>
        </w:rPr>
        <w:t>here</w:t>
      </w:r>
      <w:r w:rsidR="006F4F8B">
        <w:rPr>
          <w:rFonts w:ascii="Arial" w:hAnsi="Arial" w:cs="Arial"/>
          <w:sz w:val="19"/>
          <w:szCs w:val="19"/>
        </w:rPr>
        <w:t>fore</w:t>
      </w:r>
      <w:proofErr w:type="spellEnd"/>
      <w:r w:rsidR="00C1077F" w:rsidRPr="007234A9">
        <w:rPr>
          <w:rFonts w:ascii="Arial" w:hAnsi="Arial" w:cs="Arial"/>
          <w:sz w:val="19"/>
          <w:szCs w:val="19"/>
        </w:rPr>
        <w:t xml:space="preserve"> are the same as set out above in relation to considerations of sustainability adverse impact.</w:t>
      </w:r>
      <w:r w:rsidR="00C1077F" w:rsidRPr="00C1077F">
        <w:rPr>
          <w:rFonts w:ascii="Arial" w:hAnsi="Arial" w:cs="Arial"/>
          <w:sz w:val="19"/>
          <w:szCs w:val="19"/>
        </w:rPr>
        <w:t xml:space="preserve"> </w:t>
      </w:r>
    </w:p>
    <w:p w14:paraId="5477C43B" w14:textId="77777777" w:rsidR="00C1077F" w:rsidRDefault="00C1077F" w:rsidP="00EA0556">
      <w:pPr>
        <w:rPr>
          <w:rFonts w:ascii="Arial" w:hAnsi="Arial" w:cs="Arial"/>
          <w:sz w:val="19"/>
          <w:szCs w:val="19"/>
        </w:rPr>
      </w:pPr>
    </w:p>
    <w:p w14:paraId="477DABF2" w14:textId="26028F76" w:rsidR="00EA0556" w:rsidRPr="007234A9" w:rsidRDefault="00C1077F" w:rsidP="00EA0556">
      <w:pPr>
        <w:rPr>
          <w:rFonts w:ascii="Arial" w:hAnsi="Arial" w:cs="Arial"/>
          <w:sz w:val="19"/>
          <w:szCs w:val="19"/>
        </w:rPr>
      </w:pPr>
      <w:r w:rsidRPr="007234A9">
        <w:rPr>
          <w:rFonts w:ascii="Arial" w:hAnsi="Arial" w:cs="Arial"/>
          <w:sz w:val="19"/>
          <w:szCs w:val="19"/>
        </w:rPr>
        <w:t xml:space="preserve">Garda CPH </w:t>
      </w:r>
      <w:r>
        <w:rPr>
          <w:rFonts w:ascii="Arial" w:hAnsi="Arial" w:cs="Arial"/>
          <w:sz w:val="19"/>
          <w:szCs w:val="19"/>
        </w:rPr>
        <w:t xml:space="preserve">has therefore assessed that sustainability risk are </w:t>
      </w:r>
      <w:r w:rsidR="006F4F8B">
        <w:rPr>
          <w:rFonts w:ascii="Arial" w:hAnsi="Arial" w:cs="Arial"/>
          <w:sz w:val="19"/>
          <w:szCs w:val="19"/>
        </w:rPr>
        <w:t xml:space="preserve">currently </w:t>
      </w:r>
      <w:r>
        <w:rPr>
          <w:rFonts w:ascii="Arial" w:hAnsi="Arial" w:cs="Arial"/>
          <w:sz w:val="19"/>
          <w:szCs w:val="19"/>
        </w:rPr>
        <w:t>not relevant and these risks are therefore</w:t>
      </w:r>
      <w:r w:rsidRPr="007234A9">
        <w:rPr>
          <w:rFonts w:ascii="Arial" w:hAnsi="Arial" w:cs="Arial"/>
          <w:sz w:val="19"/>
          <w:szCs w:val="19"/>
        </w:rPr>
        <w:t xml:space="preserve"> not </w:t>
      </w:r>
      <w:r w:rsidR="00442295" w:rsidRPr="007234A9">
        <w:rPr>
          <w:rFonts w:ascii="Arial" w:hAnsi="Arial" w:cs="Arial"/>
          <w:sz w:val="19"/>
          <w:szCs w:val="19"/>
        </w:rPr>
        <w:t>integrated</w:t>
      </w:r>
      <w:r w:rsidRPr="007234A9">
        <w:rPr>
          <w:rFonts w:ascii="Arial" w:hAnsi="Arial" w:cs="Arial"/>
          <w:sz w:val="19"/>
          <w:szCs w:val="19"/>
        </w:rPr>
        <w:t xml:space="preserve"> in Garda CPH’s investment decisions-making process.</w:t>
      </w:r>
    </w:p>
    <w:p w14:paraId="3B3A4705" w14:textId="77777777" w:rsidR="00EA0556" w:rsidRPr="007234A9" w:rsidRDefault="00EA0556" w:rsidP="00EA0556">
      <w:pPr>
        <w:rPr>
          <w:rFonts w:ascii="Arial" w:hAnsi="Arial" w:cs="Arial"/>
          <w:sz w:val="19"/>
          <w:szCs w:val="19"/>
        </w:rPr>
      </w:pPr>
    </w:p>
    <w:p w14:paraId="6E860624" w14:textId="3C92F220" w:rsidR="00EA0556" w:rsidRPr="0080312A" w:rsidRDefault="00EA0556" w:rsidP="0080312A">
      <w:pPr>
        <w:rPr>
          <w:rFonts w:ascii="Arial" w:hAnsi="Arial" w:cs="Arial"/>
          <w:sz w:val="19"/>
          <w:szCs w:val="19"/>
        </w:rPr>
      </w:pPr>
      <w:r>
        <w:rPr>
          <w:rFonts w:ascii="Arial" w:hAnsi="Arial" w:cs="Arial"/>
          <w:sz w:val="19"/>
          <w:szCs w:val="19"/>
        </w:rPr>
        <w:t xml:space="preserve">The </w:t>
      </w:r>
      <w:r w:rsidR="001F0DDF">
        <w:rPr>
          <w:rFonts w:ascii="Arial" w:hAnsi="Arial" w:cs="Arial"/>
          <w:sz w:val="19"/>
          <w:szCs w:val="19"/>
        </w:rPr>
        <w:t>ESG policy</w:t>
      </w:r>
      <w:r w:rsidR="001F0DDF" w:rsidRPr="007234A9">
        <w:rPr>
          <w:rFonts w:ascii="Arial" w:hAnsi="Arial" w:cs="Arial"/>
          <w:sz w:val="19"/>
          <w:szCs w:val="19"/>
        </w:rPr>
        <w:t xml:space="preserve"> </w:t>
      </w:r>
      <w:r>
        <w:rPr>
          <w:rFonts w:ascii="Arial" w:hAnsi="Arial" w:cs="Arial"/>
          <w:sz w:val="19"/>
          <w:szCs w:val="19"/>
        </w:rPr>
        <w:t>is</w:t>
      </w:r>
      <w:r w:rsidRPr="007234A9">
        <w:rPr>
          <w:rFonts w:ascii="Arial" w:hAnsi="Arial" w:cs="Arial"/>
          <w:sz w:val="19"/>
          <w:szCs w:val="19"/>
        </w:rPr>
        <w:t xml:space="preserve"> also reflected in Garda CPH’s remuneration policy</w:t>
      </w:r>
      <w:r w:rsidR="00C1077F">
        <w:rPr>
          <w:rFonts w:ascii="Arial" w:hAnsi="Arial" w:cs="Arial"/>
          <w:sz w:val="19"/>
          <w:szCs w:val="19"/>
        </w:rPr>
        <w:t>.</w:t>
      </w:r>
      <w:r w:rsidRPr="007234A9">
        <w:rPr>
          <w:rFonts w:ascii="Arial" w:hAnsi="Arial" w:cs="Arial"/>
          <w:sz w:val="19"/>
          <w:szCs w:val="19"/>
        </w:rPr>
        <w:t xml:space="preserve"> </w:t>
      </w:r>
      <w:bookmarkStart w:id="0" w:name="_GoBack"/>
      <w:bookmarkEnd w:id="0"/>
    </w:p>
    <w:sectPr w:rsidR="00EA0556" w:rsidRPr="0080312A" w:rsidSect="00B90103">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985"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FD59" w14:textId="77777777" w:rsidR="00AE038A" w:rsidRDefault="00AE038A">
      <w:pPr>
        <w:spacing w:line="240" w:lineRule="auto"/>
      </w:pPr>
      <w:r>
        <w:separator/>
      </w:r>
    </w:p>
  </w:endnote>
  <w:endnote w:type="continuationSeparator" w:id="0">
    <w:p w14:paraId="07FE7F95" w14:textId="77777777" w:rsidR="00AE038A" w:rsidRDefault="00AE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Light">
    <w:altName w:val="Corbe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D47" w14:textId="77777777" w:rsidR="000F016C" w:rsidRDefault="000F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CCC5" w14:textId="77777777" w:rsidR="000F016C" w:rsidRDefault="000F0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AD7C" w14:textId="77777777" w:rsidR="000F016C" w:rsidRDefault="000F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4DA58" w14:textId="77777777" w:rsidR="00AE038A" w:rsidRDefault="00AE038A">
      <w:pPr>
        <w:spacing w:line="240" w:lineRule="auto"/>
      </w:pPr>
      <w:r>
        <w:separator/>
      </w:r>
    </w:p>
  </w:footnote>
  <w:footnote w:type="continuationSeparator" w:id="0">
    <w:p w14:paraId="6774F5EC" w14:textId="77777777" w:rsidR="00AE038A" w:rsidRDefault="00AE0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C75D" w14:textId="77777777" w:rsidR="000F016C" w:rsidRDefault="000F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E6488" w14:textId="77777777" w:rsidR="000A0846" w:rsidRPr="002F64A2" w:rsidRDefault="0080312A" w:rsidP="00547C09">
    <w:pPr>
      <w:rPr>
        <w:rFonts w:cs="Open Sans"/>
      </w:rPr>
    </w:pPr>
  </w:p>
  <w:p w14:paraId="18339FCF" w14:textId="77777777" w:rsidR="000A0846" w:rsidRPr="002F64A2" w:rsidRDefault="0080312A" w:rsidP="00547C09">
    <w:pPr>
      <w:rPr>
        <w:rFonts w:cs="Open Sans"/>
      </w:rPr>
    </w:pPr>
  </w:p>
  <w:p w14:paraId="0F8678FB" w14:textId="77777777" w:rsidR="000A0846" w:rsidRPr="002F64A2" w:rsidRDefault="0080312A" w:rsidP="00547C09">
    <w:pPr>
      <w:rPr>
        <w:rFonts w:cs="Open Sans"/>
      </w:rPr>
    </w:pPr>
  </w:p>
  <w:p w14:paraId="34DBF22D" w14:textId="77777777" w:rsidR="000A0846" w:rsidRDefault="0080312A" w:rsidP="00547C09">
    <w:pPr>
      <w:rPr>
        <w:rFonts w:cs="Open Sans"/>
      </w:rPr>
    </w:pPr>
  </w:p>
  <w:p w14:paraId="74E67CA4" w14:textId="77777777" w:rsidR="000A0846" w:rsidRDefault="0080312A" w:rsidP="00547C09">
    <w:pPr>
      <w:rPr>
        <w:rFonts w:cs="Open Sans"/>
      </w:rPr>
    </w:pPr>
  </w:p>
  <w:tbl>
    <w:tblPr>
      <w:tblW w:w="8613" w:type="dxa"/>
      <w:tblLook w:val="01E0" w:firstRow="1" w:lastRow="1" w:firstColumn="1" w:lastColumn="1" w:noHBand="0" w:noVBand="0"/>
    </w:tblPr>
    <w:tblGrid>
      <w:gridCol w:w="5211"/>
      <w:gridCol w:w="993"/>
      <w:gridCol w:w="2409"/>
    </w:tblGrid>
    <w:tr w:rsidR="000A0846" w:rsidRPr="00A90EA5" w14:paraId="0B9A074A" w14:textId="77777777" w:rsidTr="00F76A14">
      <w:trPr>
        <w:trHeight w:hRule="exact" w:val="340"/>
      </w:trPr>
      <w:tc>
        <w:tcPr>
          <w:tcW w:w="5211" w:type="dxa"/>
          <w:vMerge w:val="restart"/>
        </w:tcPr>
        <w:p w14:paraId="494886AE" w14:textId="77777777" w:rsidR="000A0846" w:rsidRPr="00A90EA5" w:rsidRDefault="0080312A" w:rsidP="00152385">
          <w:pPr>
            <w:jc w:val="left"/>
            <w:rPr>
              <w:rFonts w:ascii="Open Sans Light" w:hAnsi="Open Sans Light" w:cs="Open Sans Light"/>
            </w:rPr>
          </w:pPr>
        </w:p>
        <w:p w14:paraId="7E6398A6" w14:textId="77777777" w:rsidR="000A0846" w:rsidRPr="00A90EA5" w:rsidRDefault="0080312A" w:rsidP="00152385">
          <w:pPr>
            <w:jc w:val="left"/>
            <w:rPr>
              <w:rFonts w:ascii="Open Sans Light" w:hAnsi="Open Sans Light" w:cs="Open Sans Light"/>
            </w:rPr>
          </w:pPr>
        </w:p>
      </w:tc>
      <w:tc>
        <w:tcPr>
          <w:tcW w:w="993" w:type="dxa"/>
          <w:vMerge w:val="restart"/>
        </w:tcPr>
        <w:p w14:paraId="4DE41788" w14:textId="77777777" w:rsidR="000A0846" w:rsidRPr="00372437" w:rsidRDefault="0080312A" w:rsidP="00152385">
          <w:pPr>
            <w:rPr>
              <w:rFonts w:ascii="Arial" w:hAnsi="Arial" w:cs="Arial"/>
            </w:rPr>
          </w:pPr>
        </w:p>
      </w:tc>
      <w:tc>
        <w:tcPr>
          <w:tcW w:w="2409" w:type="dxa"/>
          <w:tcBorders>
            <w:bottom w:val="single" w:sz="4" w:space="0" w:color="auto"/>
          </w:tcBorders>
          <w:tcMar>
            <w:left w:w="0" w:type="dxa"/>
          </w:tcMar>
        </w:tcPr>
        <w:p w14:paraId="4267A6BB" w14:textId="77777777" w:rsidR="000A0846" w:rsidRPr="00372437" w:rsidRDefault="00B4588D" w:rsidP="00152385">
          <w:pPr>
            <w:jc w:val="left"/>
            <w:rPr>
              <w:rFonts w:ascii="Arial" w:hAnsi="Arial" w:cs="Arial"/>
              <w:sz w:val="14"/>
              <w:szCs w:val="14"/>
            </w:rPr>
          </w:pPr>
          <w:r w:rsidRPr="00372437">
            <w:rPr>
              <w:rFonts w:ascii="Arial" w:hAnsi="Arial" w:cs="Arial"/>
              <w:sz w:val="14"/>
              <w:szCs w:val="14"/>
            </w:rPr>
            <w:fldChar w:fldCharType="begin"/>
          </w:r>
          <w:r w:rsidRPr="00372437">
            <w:rPr>
              <w:rFonts w:ascii="Arial" w:hAnsi="Arial" w:cs="Arial"/>
              <w:sz w:val="14"/>
              <w:szCs w:val="14"/>
            </w:rPr>
            <w:instrText xml:space="preserve"> PAGE  \* Arabic  \* MERGEFORMAT </w:instrText>
          </w:r>
          <w:r w:rsidRPr="00372437">
            <w:rPr>
              <w:rFonts w:ascii="Arial" w:hAnsi="Arial" w:cs="Arial"/>
              <w:sz w:val="14"/>
              <w:szCs w:val="14"/>
            </w:rPr>
            <w:fldChar w:fldCharType="separate"/>
          </w:r>
          <w:r w:rsidRPr="00372437">
            <w:rPr>
              <w:rFonts w:ascii="Arial" w:hAnsi="Arial" w:cs="Arial"/>
              <w:noProof/>
              <w:sz w:val="14"/>
              <w:szCs w:val="14"/>
            </w:rPr>
            <w:t>5</w:t>
          </w:r>
          <w:r w:rsidRPr="00372437">
            <w:rPr>
              <w:rFonts w:ascii="Arial" w:hAnsi="Arial" w:cs="Arial"/>
              <w:sz w:val="14"/>
              <w:szCs w:val="14"/>
            </w:rPr>
            <w:fldChar w:fldCharType="end"/>
          </w:r>
          <w:r w:rsidRPr="00372437">
            <w:rPr>
              <w:rFonts w:ascii="Arial" w:hAnsi="Arial" w:cs="Arial"/>
              <w:sz w:val="14"/>
              <w:szCs w:val="14"/>
            </w:rPr>
            <w:t>/</w:t>
          </w:r>
          <w:r w:rsidRPr="00372437">
            <w:rPr>
              <w:rFonts w:ascii="Arial" w:hAnsi="Arial" w:cs="Arial"/>
              <w:sz w:val="14"/>
              <w:szCs w:val="14"/>
            </w:rPr>
            <w:fldChar w:fldCharType="begin"/>
          </w:r>
          <w:r w:rsidRPr="00372437">
            <w:rPr>
              <w:rFonts w:ascii="Arial" w:hAnsi="Arial" w:cs="Arial"/>
              <w:sz w:val="14"/>
              <w:szCs w:val="14"/>
            </w:rPr>
            <w:instrText xml:space="preserve"> NUMPAGES  \* Arabic  \* MERGEFORMAT </w:instrText>
          </w:r>
          <w:r w:rsidRPr="00372437">
            <w:rPr>
              <w:rFonts w:ascii="Arial" w:hAnsi="Arial" w:cs="Arial"/>
              <w:sz w:val="14"/>
              <w:szCs w:val="14"/>
            </w:rPr>
            <w:fldChar w:fldCharType="separate"/>
          </w:r>
          <w:r w:rsidRPr="00372437">
            <w:rPr>
              <w:rFonts w:ascii="Arial" w:hAnsi="Arial" w:cs="Arial"/>
              <w:noProof/>
              <w:sz w:val="14"/>
              <w:szCs w:val="14"/>
            </w:rPr>
            <w:t>5</w:t>
          </w:r>
          <w:r w:rsidRPr="00372437">
            <w:rPr>
              <w:rFonts w:ascii="Arial" w:hAnsi="Arial" w:cs="Arial"/>
              <w:sz w:val="14"/>
              <w:szCs w:val="14"/>
            </w:rPr>
            <w:fldChar w:fldCharType="end"/>
          </w:r>
        </w:p>
        <w:p w14:paraId="1D74241C" w14:textId="77777777" w:rsidR="000A0846" w:rsidRPr="00372437" w:rsidRDefault="0080312A" w:rsidP="00152385">
          <w:pPr>
            <w:jc w:val="left"/>
            <w:rPr>
              <w:rFonts w:ascii="Arial" w:hAnsi="Arial" w:cs="Arial"/>
              <w:sz w:val="14"/>
              <w:szCs w:val="14"/>
            </w:rPr>
          </w:pPr>
        </w:p>
      </w:tc>
    </w:tr>
    <w:tr w:rsidR="000A0846" w:rsidRPr="00A90EA5" w14:paraId="7BC58CA7" w14:textId="77777777" w:rsidTr="00F76A14">
      <w:trPr>
        <w:cantSplit/>
        <w:trHeight w:hRule="exact" w:val="652"/>
      </w:trPr>
      <w:tc>
        <w:tcPr>
          <w:tcW w:w="5211" w:type="dxa"/>
          <w:vMerge/>
        </w:tcPr>
        <w:p w14:paraId="2F164F71" w14:textId="77777777" w:rsidR="000A0846" w:rsidRPr="00A90EA5" w:rsidRDefault="0080312A" w:rsidP="00152385">
          <w:pPr>
            <w:jc w:val="left"/>
            <w:rPr>
              <w:rFonts w:ascii="Open Sans Light" w:hAnsi="Open Sans Light" w:cs="Open Sans Light"/>
            </w:rPr>
          </w:pPr>
        </w:p>
      </w:tc>
      <w:tc>
        <w:tcPr>
          <w:tcW w:w="993" w:type="dxa"/>
          <w:vMerge/>
        </w:tcPr>
        <w:p w14:paraId="05F26650" w14:textId="77777777" w:rsidR="000A0846" w:rsidRPr="00A90EA5" w:rsidRDefault="0080312A" w:rsidP="00152385">
          <w:pPr>
            <w:rPr>
              <w:rFonts w:ascii="Open Sans Light" w:hAnsi="Open Sans Light" w:cs="Open Sans Light"/>
            </w:rPr>
          </w:pPr>
        </w:p>
      </w:tc>
      <w:tc>
        <w:tcPr>
          <w:tcW w:w="2409" w:type="dxa"/>
          <w:tcBorders>
            <w:top w:val="single" w:sz="4" w:space="0" w:color="auto"/>
          </w:tcBorders>
          <w:tcMar>
            <w:left w:w="0" w:type="dxa"/>
          </w:tcMar>
        </w:tcPr>
        <w:p w14:paraId="3F4BD0BF" w14:textId="77777777" w:rsidR="000A0846" w:rsidRPr="00A90EA5" w:rsidRDefault="0080312A" w:rsidP="00152385">
          <w:pPr>
            <w:spacing w:line="100" w:lineRule="exact"/>
            <w:jc w:val="left"/>
            <w:rPr>
              <w:rFonts w:ascii="Open Sans Light" w:hAnsi="Open Sans Light" w:cs="Open Sans Light"/>
              <w:sz w:val="14"/>
              <w:szCs w:val="14"/>
            </w:rPr>
          </w:pPr>
        </w:p>
        <w:p w14:paraId="5A940661" w14:textId="77777777" w:rsidR="000A0846" w:rsidRPr="00A90EA5" w:rsidRDefault="00B4588D" w:rsidP="00152385">
          <w:pPr>
            <w:jc w:val="left"/>
            <w:rPr>
              <w:rFonts w:ascii="Open Sans Light" w:hAnsi="Open Sans Light" w:cs="Open Sans Light"/>
              <w:sz w:val="14"/>
              <w:szCs w:val="14"/>
            </w:rPr>
          </w:pPr>
          <w:bookmarkStart w:id="1" w:name="Udkast2"/>
          <w:bookmarkEnd w:id="1"/>
          <w:r w:rsidRPr="00A90EA5">
            <w:rPr>
              <w:rFonts w:ascii="Open Sans Light" w:hAnsi="Open Sans Light" w:cs="Open Sans Light"/>
              <w:sz w:val="14"/>
              <w:szCs w:val="14"/>
            </w:rPr>
            <w:t xml:space="preserve"> </w:t>
          </w:r>
          <w:bookmarkStart w:id="2" w:name="UdkastDato2"/>
          <w:bookmarkEnd w:id="2"/>
        </w:p>
      </w:tc>
    </w:tr>
  </w:tbl>
  <w:p w14:paraId="64B1E591" w14:textId="77777777" w:rsidR="000A0846" w:rsidRPr="002F64A2" w:rsidRDefault="0080312A" w:rsidP="00547C09">
    <w:pPr>
      <w:pStyle w:val="Header"/>
      <w:rPr>
        <w:rFont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39A2" w14:textId="77777777" w:rsidR="000F016C" w:rsidRDefault="000F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CD6"/>
    <w:multiLevelType w:val="multilevel"/>
    <w:tmpl w:val="C14AAB32"/>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ascii="Arial" w:hAnsi="Arial" w:cs="Arial" w:hint="default"/>
        <w:sz w:val="19"/>
        <w:szCs w:val="19"/>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025711E"/>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BE1AC0"/>
    <w:multiLevelType w:val="hybridMultilevel"/>
    <w:tmpl w:val="8796E7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EE7229"/>
    <w:multiLevelType w:val="hybridMultilevel"/>
    <w:tmpl w:val="5F466D02"/>
    <w:lvl w:ilvl="0" w:tplc="72720F94">
      <w:start w:val="1"/>
      <w:numFmt w:val="lowerRoman"/>
      <w:lvlText w:val="(%1)"/>
      <w:lvlJc w:val="left"/>
      <w:pPr>
        <w:ind w:left="720" w:hanging="360"/>
      </w:pPr>
      <w:rPr>
        <w:rFonts w:ascii="Arial" w:eastAsia="Times New Roman" w:hAnsi="Arial" w:cs="Arial"/>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BDE40B8"/>
    <w:multiLevelType w:val="hybridMultilevel"/>
    <w:tmpl w:val="025009BE"/>
    <w:lvl w:ilvl="0" w:tplc="CD189AA4">
      <w:start w:val="1"/>
      <w:numFmt w:val="lowerRoman"/>
      <w:lvlText w:val="(%1)"/>
      <w:lvlJc w:val="left"/>
      <w:pPr>
        <w:ind w:left="1440" w:hanging="720"/>
      </w:pPr>
      <w:rPr>
        <w:rFonts w:eastAsia="Times New Roman"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8914862"/>
    <w:multiLevelType w:val="multilevel"/>
    <w:tmpl w:val="0406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721B434C"/>
    <w:multiLevelType w:val="hybridMultilevel"/>
    <w:tmpl w:val="4F04A8C2"/>
    <w:lvl w:ilvl="0" w:tplc="38628A90">
      <w:start w:val="1"/>
      <w:numFmt w:val="lowerRoman"/>
      <w:lvlText w:val="(%1)"/>
      <w:lvlJc w:val="left"/>
      <w:pPr>
        <w:ind w:left="1571" w:hanging="720"/>
      </w:pPr>
      <w:rPr>
        <w:rFonts w:hint="default"/>
      </w:rPr>
    </w:lvl>
    <w:lvl w:ilvl="1" w:tplc="C534F546">
      <w:start w:val="1"/>
      <w:numFmt w:val="lowerRoman"/>
      <w:lvlText w:val="(%2)"/>
      <w:lvlJc w:val="left"/>
      <w:pPr>
        <w:ind w:left="1931" w:hanging="360"/>
      </w:pPr>
      <w:rPr>
        <w:rFonts w:ascii="Open Sans" w:eastAsia="Times New Roman" w:hAnsi="Open Sans" w:cs="Times New Roman"/>
      </w:rPr>
    </w:lvl>
    <w:lvl w:ilvl="2" w:tplc="CEBA7472">
      <w:start w:val="1"/>
      <w:numFmt w:val="decimal"/>
      <w:lvlText w:val="%3."/>
      <w:lvlJc w:val="left"/>
      <w:pPr>
        <w:ind w:left="2831" w:hanging="360"/>
      </w:pPr>
      <w:rPr>
        <w:rFonts w:hint="default"/>
      </w:r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56"/>
    <w:rsid w:val="000F016C"/>
    <w:rsid w:val="00145B3C"/>
    <w:rsid w:val="001C485B"/>
    <w:rsid w:val="001D3509"/>
    <w:rsid w:val="001F0DDF"/>
    <w:rsid w:val="0026039D"/>
    <w:rsid w:val="0026481C"/>
    <w:rsid w:val="002B506D"/>
    <w:rsid w:val="002D1C71"/>
    <w:rsid w:val="003978E2"/>
    <w:rsid w:val="003A6EB6"/>
    <w:rsid w:val="00442295"/>
    <w:rsid w:val="00462470"/>
    <w:rsid w:val="00482540"/>
    <w:rsid w:val="004875D9"/>
    <w:rsid w:val="00490E77"/>
    <w:rsid w:val="004E718C"/>
    <w:rsid w:val="00522B1F"/>
    <w:rsid w:val="0053073A"/>
    <w:rsid w:val="005B1A5E"/>
    <w:rsid w:val="00690024"/>
    <w:rsid w:val="006B20FF"/>
    <w:rsid w:val="006F4F8B"/>
    <w:rsid w:val="00712D95"/>
    <w:rsid w:val="0075032A"/>
    <w:rsid w:val="0080312A"/>
    <w:rsid w:val="008B7EF0"/>
    <w:rsid w:val="00930A3D"/>
    <w:rsid w:val="00971EDD"/>
    <w:rsid w:val="009D505A"/>
    <w:rsid w:val="00A03234"/>
    <w:rsid w:val="00A05284"/>
    <w:rsid w:val="00A42B90"/>
    <w:rsid w:val="00AE038A"/>
    <w:rsid w:val="00AE142E"/>
    <w:rsid w:val="00B20C8B"/>
    <w:rsid w:val="00B4588D"/>
    <w:rsid w:val="00B608C1"/>
    <w:rsid w:val="00BB5656"/>
    <w:rsid w:val="00BE3C0D"/>
    <w:rsid w:val="00C1077F"/>
    <w:rsid w:val="00C73FA5"/>
    <w:rsid w:val="00CF3D5E"/>
    <w:rsid w:val="00D268D8"/>
    <w:rsid w:val="00D56BCF"/>
    <w:rsid w:val="00D96D26"/>
    <w:rsid w:val="00E26FC5"/>
    <w:rsid w:val="00E47B15"/>
    <w:rsid w:val="00E904CE"/>
    <w:rsid w:val="00EA0556"/>
    <w:rsid w:val="00ED1673"/>
    <w:rsid w:val="00ED6A9A"/>
    <w:rsid w:val="00ED7999"/>
    <w:rsid w:val="00F322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D3D0"/>
  <w15:chartTrackingRefBased/>
  <w15:docId w15:val="{5A4A9D13-D3CF-40D1-94A6-0C941472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556"/>
    <w:pPr>
      <w:tabs>
        <w:tab w:val="left" w:pos="851"/>
        <w:tab w:val="left" w:pos="1701"/>
        <w:tab w:val="left" w:pos="2835"/>
        <w:tab w:val="left" w:pos="5103"/>
        <w:tab w:val="right" w:pos="6521"/>
        <w:tab w:val="left" w:pos="6985"/>
        <w:tab w:val="right" w:pos="8505"/>
      </w:tabs>
      <w:spacing w:after="0" w:line="260" w:lineRule="atLeast"/>
      <w:jc w:val="both"/>
    </w:pPr>
    <w:rPr>
      <w:rFonts w:ascii="Open Sans" w:eastAsia="Times New Roman" w:hAnsi="Open Sans" w:cs="Times New Roman"/>
      <w:sz w:val="20"/>
      <w:szCs w:val="24"/>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556"/>
    <w:pPr>
      <w:tabs>
        <w:tab w:val="clear" w:pos="851"/>
        <w:tab w:val="clear" w:pos="1701"/>
        <w:tab w:val="clear" w:pos="2835"/>
        <w:tab w:val="clear" w:pos="5103"/>
        <w:tab w:val="clear" w:pos="6521"/>
        <w:tab w:val="center" w:pos="4819"/>
        <w:tab w:val="right" w:pos="9638"/>
      </w:tabs>
    </w:pPr>
  </w:style>
  <w:style w:type="character" w:customStyle="1" w:styleId="HeaderChar">
    <w:name w:val="Header Char"/>
    <w:basedOn w:val="DefaultParagraphFont"/>
    <w:link w:val="Header"/>
    <w:rsid w:val="00EA0556"/>
    <w:rPr>
      <w:rFonts w:ascii="Open Sans" w:eastAsia="Times New Roman" w:hAnsi="Open Sans" w:cs="Times New Roman"/>
      <w:sz w:val="20"/>
      <w:szCs w:val="24"/>
      <w:lang w:val="en-GB" w:eastAsia="da-DK"/>
    </w:rPr>
  </w:style>
  <w:style w:type="paragraph" w:styleId="Footer">
    <w:name w:val="footer"/>
    <w:basedOn w:val="Normal"/>
    <w:link w:val="FooterChar"/>
    <w:rsid w:val="00EA0556"/>
    <w:pPr>
      <w:tabs>
        <w:tab w:val="clear" w:pos="851"/>
        <w:tab w:val="clear" w:pos="1701"/>
        <w:tab w:val="clear" w:pos="2835"/>
        <w:tab w:val="clear" w:pos="5103"/>
        <w:tab w:val="clear" w:pos="6521"/>
        <w:tab w:val="center" w:pos="4819"/>
        <w:tab w:val="right" w:pos="9638"/>
      </w:tabs>
    </w:pPr>
  </w:style>
  <w:style w:type="character" w:customStyle="1" w:styleId="FooterChar">
    <w:name w:val="Footer Char"/>
    <w:basedOn w:val="DefaultParagraphFont"/>
    <w:link w:val="Footer"/>
    <w:rsid w:val="00EA0556"/>
    <w:rPr>
      <w:rFonts w:ascii="Open Sans" w:eastAsia="Times New Roman" w:hAnsi="Open Sans" w:cs="Times New Roman"/>
      <w:sz w:val="20"/>
      <w:szCs w:val="24"/>
      <w:lang w:val="en-GB" w:eastAsia="da-DK"/>
    </w:rPr>
  </w:style>
  <w:style w:type="paragraph" w:customStyle="1" w:styleId="BBDOverskrift1">
    <w:name w:val="BBDOverskrift 1"/>
    <w:basedOn w:val="Normal"/>
    <w:next w:val="Normal"/>
    <w:rsid w:val="00EA0556"/>
    <w:pPr>
      <w:numPr>
        <w:numId w:val="1"/>
      </w:numPr>
      <w:tabs>
        <w:tab w:val="clear" w:pos="851"/>
      </w:tabs>
      <w:outlineLvl w:val="0"/>
    </w:pPr>
    <w:rPr>
      <w:b/>
      <w:szCs w:val="20"/>
    </w:rPr>
  </w:style>
  <w:style w:type="paragraph" w:customStyle="1" w:styleId="BBDOverskrift2">
    <w:name w:val="BBDOverskrift 2"/>
    <w:basedOn w:val="Normal"/>
    <w:next w:val="BBDIndryk2"/>
    <w:rsid w:val="00EA0556"/>
    <w:pPr>
      <w:numPr>
        <w:ilvl w:val="1"/>
        <w:numId w:val="1"/>
      </w:numPr>
      <w:tabs>
        <w:tab w:val="clear" w:pos="851"/>
      </w:tabs>
    </w:pPr>
  </w:style>
  <w:style w:type="paragraph" w:customStyle="1" w:styleId="BBDOverskrift3">
    <w:name w:val="BBDOverskrift 3"/>
    <w:basedOn w:val="Normal"/>
    <w:next w:val="BBDIndryk2"/>
    <w:rsid w:val="00EA0556"/>
    <w:pPr>
      <w:numPr>
        <w:ilvl w:val="2"/>
        <w:numId w:val="1"/>
      </w:numPr>
    </w:pPr>
  </w:style>
  <w:style w:type="paragraph" w:customStyle="1" w:styleId="BBDOverskrift4">
    <w:name w:val="BBDOverskrift 4"/>
    <w:basedOn w:val="Normal"/>
    <w:next w:val="BBDIndryk2"/>
    <w:rsid w:val="00EA0556"/>
    <w:pPr>
      <w:numPr>
        <w:ilvl w:val="3"/>
        <w:numId w:val="1"/>
      </w:numPr>
    </w:pPr>
  </w:style>
  <w:style w:type="paragraph" w:customStyle="1" w:styleId="BBDIndryk2">
    <w:name w:val="BBDIndryk2"/>
    <w:basedOn w:val="Normal"/>
    <w:rsid w:val="00EA0556"/>
    <w:pPr>
      <w:ind w:left="851"/>
    </w:pPr>
  </w:style>
  <w:style w:type="paragraph" w:styleId="ListParagraph">
    <w:name w:val="List Paragraph"/>
    <w:basedOn w:val="Normal"/>
    <w:uiPriority w:val="34"/>
    <w:qFormat/>
    <w:rsid w:val="00EA0556"/>
    <w:pPr>
      <w:ind w:left="720"/>
      <w:contextualSpacing/>
    </w:pPr>
  </w:style>
  <w:style w:type="character" w:styleId="CommentReference">
    <w:name w:val="annotation reference"/>
    <w:basedOn w:val="DefaultParagraphFont"/>
    <w:rsid w:val="00EA0556"/>
    <w:rPr>
      <w:sz w:val="16"/>
      <w:szCs w:val="16"/>
    </w:rPr>
  </w:style>
  <w:style w:type="paragraph" w:styleId="CommentText">
    <w:name w:val="annotation text"/>
    <w:basedOn w:val="Normal"/>
    <w:link w:val="CommentTextChar"/>
    <w:rsid w:val="00EA0556"/>
    <w:pPr>
      <w:spacing w:line="240" w:lineRule="auto"/>
    </w:pPr>
    <w:rPr>
      <w:szCs w:val="20"/>
    </w:rPr>
  </w:style>
  <w:style w:type="character" w:customStyle="1" w:styleId="CommentTextChar">
    <w:name w:val="Comment Text Char"/>
    <w:basedOn w:val="DefaultParagraphFont"/>
    <w:link w:val="CommentText"/>
    <w:rsid w:val="00EA0556"/>
    <w:rPr>
      <w:rFonts w:ascii="Open Sans" w:eastAsia="Times New Roman" w:hAnsi="Open Sans" w:cs="Times New Roman"/>
      <w:sz w:val="20"/>
      <w:szCs w:val="20"/>
      <w:lang w:val="en-GB" w:eastAsia="da-DK"/>
    </w:rPr>
  </w:style>
  <w:style w:type="paragraph" w:styleId="BodyText">
    <w:name w:val="Body Text"/>
    <w:basedOn w:val="Normal"/>
    <w:link w:val="BodyTextChar"/>
    <w:rsid w:val="00690024"/>
    <w:pPr>
      <w:tabs>
        <w:tab w:val="clear" w:pos="851"/>
        <w:tab w:val="clear" w:pos="1701"/>
        <w:tab w:val="clear" w:pos="2835"/>
        <w:tab w:val="clear" w:pos="5103"/>
        <w:tab w:val="clear" w:pos="6521"/>
        <w:tab w:val="clear" w:pos="6985"/>
        <w:tab w:val="clear" w:pos="8505"/>
      </w:tabs>
      <w:spacing w:after="240" w:line="240" w:lineRule="auto"/>
    </w:pPr>
    <w:rPr>
      <w:rFonts w:ascii="Arial" w:eastAsiaTheme="minorEastAsia" w:hAnsi="Arial"/>
      <w:sz w:val="21"/>
      <w:szCs w:val="20"/>
      <w:lang w:val="en-US" w:eastAsia="en-US"/>
    </w:rPr>
  </w:style>
  <w:style w:type="character" w:customStyle="1" w:styleId="BodyTextChar">
    <w:name w:val="Body Text Char"/>
    <w:basedOn w:val="DefaultParagraphFont"/>
    <w:link w:val="BodyText"/>
    <w:rsid w:val="00690024"/>
    <w:rPr>
      <w:rFonts w:ascii="Arial" w:eastAsiaTheme="minorEastAsia" w:hAnsi="Arial" w:cs="Times New Roman"/>
      <w:sz w:val="21"/>
      <w:szCs w:val="20"/>
      <w:lang w:val="en-US"/>
    </w:rPr>
  </w:style>
  <w:style w:type="paragraph" w:styleId="CommentSubject">
    <w:name w:val="annotation subject"/>
    <w:basedOn w:val="CommentText"/>
    <w:next w:val="CommentText"/>
    <w:link w:val="CommentSubjectChar"/>
    <w:uiPriority w:val="99"/>
    <w:semiHidden/>
    <w:unhideWhenUsed/>
    <w:rsid w:val="00482540"/>
    <w:rPr>
      <w:b/>
      <w:bCs/>
    </w:rPr>
  </w:style>
  <w:style w:type="character" w:customStyle="1" w:styleId="CommentSubjectChar">
    <w:name w:val="Comment Subject Char"/>
    <w:basedOn w:val="CommentTextChar"/>
    <w:link w:val="CommentSubject"/>
    <w:uiPriority w:val="99"/>
    <w:semiHidden/>
    <w:rsid w:val="00482540"/>
    <w:rPr>
      <w:rFonts w:ascii="Open Sans" w:eastAsia="Times New Roman" w:hAnsi="Open Sans" w:cs="Times New Roman"/>
      <w:b/>
      <w:bCs/>
      <w:sz w:val="20"/>
      <w:szCs w:val="20"/>
      <w:lang w:val="en-GB" w:eastAsia="da-DK"/>
    </w:rPr>
  </w:style>
  <w:style w:type="paragraph" w:styleId="Revision">
    <w:name w:val="Revision"/>
    <w:hidden/>
    <w:uiPriority w:val="99"/>
    <w:semiHidden/>
    <w:rsid w:val="006B20FF"/>
    <w:pPr>
      <w:spacing w:after="0" w:line="240" w:lineRule="auto"/>
    </w:pPr>
    <w:rPr>
      <w:rFonts w:ascii="Open Sans" w:eastAsia="Times New Roman" w:hAnsi="Open Sans" w:cs="Times New Roman"/>
      <w:sz w:val="20"/>
      <w:szCs w:val="24"/>
      <w:lang w:val="en-GB" w:eastAsia="da-DK"/>
    </w:rPr>
  </w:style>
  <w:style w:type="paragraph" w:styleId="BalloonText">
    <w:name w:val="Balloon Text"/>
    <w:basedOn w:val="Normal"/>
    <w:link w:val="BalloonTextChar"/>
    <w:uiPriority w:val="99"/>
    <w:semiHidden/>
    <w:unhideWhenUsed/>
    <w:rsid w:val="007503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32A"/>
    <w:rPr>
      <w:rFonts w:ascii="Segoe UI" w:eastAsia="Times New Roman" w:hAnsi="Segoe UI" w:cs="Segoe UI"/>
      <w:sz w:val="18"/>
      <w:szCs w:val="18"/>
      <w:lang w:val="en-GB" w:eastAsia="da-DK"/>
    </w:rPr>
  </w:style>
  <w:style w:type="paragraph" w:customStyle="1" w:styleId="p1">
    <w:name w:val="p1"/>
    <w:basedOn w:val="Normal"/>
    <w:rsid w:val="0075032A"/>
    <w:pPr>
      <w:tabs>
        <w:tab w:val="clear" w:pos="851"/>
        <w:tab w:val="clear" w:pos="1701"/>
        <w:tab w:val="clear" w:pos="2835"/>
        <w:tab w:val="clear" w:pos="5103"/>
        <w:tab w:val="clear" w:pos="6521"/>
        <w:tab w:val="clear" w:pos="6985"/>
        <w:tab w:val="clear" w:pos="8505"/>
      </w:tabs>
      <w:spacing w:before="100" w:beforeAutospacing="1" w:after="100" w:afterAutospacing="1" w:line="240" w:lineRule="auto"/>
      <w:jc w:val="left"/>
    </w:pPr>
    <w:rPr>
      <w:rFonts w:ascii="Calibri" w:eastAsiaTheme="minorHAnsi" w:hAnsi="Calibri" w:cs="Calibri"/>
      <w:sz w:val="22"/>
      <w:szCs w:val="22"/>
      <w:lang w:val="en-US" w:eastAsia="en-US"/>
    </w:rPr>
  </w:style>
  <w:style w:type="character" w:customStyle="1" w:styleId="s2">
    <w:name w:val="s2"/>
    <w:basedOn w:val="DefaultParagraphFont"/>
    <w:rsid w:val="0075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AA618-3D5E-421A-9063-69054ACF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Bech-Bruun</dc:creator>
  <cp:keywords/>
  <dc:description/>
  <cp:lastModifiedBy>Shane, Patrick</cp:lastModifiedBy>
  <cp:revision>2</cp:revision>
  <dcterms:created xsi:type="dcterms:W3CDTF">2021-03-09T18:39:00Z</dcterms:created>
  <dcterms:modified xsi:type="dcterms:W3CDTF">2021-03-09T18:39:00Z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25140425.2</vt:lpwstr>
  </property>
  <property fmtid="{D5CDD505-2E9C-101B-9397-08002B2CF9AE}" pid="3" name="bbClient">
    <vt:lpwstr>065277</vt:lpwstr>
  </property>
  <property fmtid="{D5CDD505-2E9C-101B-9397-08002B2CF9AE}" pid="4" name="bbMatter">
    <vt:lpwstr>065277-0014</vt:lpwstr>
  </property>
  <property fmtid="{D5CDD505-2E9C-101B-9397-08002B2CF9AE}" pid="5" name="Sagsnr">
    <vt:lpwstr>065277-0014</vt:lpwstr>
  </property>
</Properties>
</file>